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9B3B" w14:textId="77777777" w:rsidR="00CB2772" w:rsidRDefault="00CB2772" w:rsidP="00CB2772">
      <w:pPr>
        <w:pStyle w:val="BodyText"/>
        <w:spacing w:before="81"/>
        <w:ind w:left="1206" w:right="1543"/>
        <w:jc w:val="center"/>
        <w:rPr>
          <w:rFonts w:ascii="Nuckle Regular" w:eastAsia="Times New Roman" w:hAnsi="Nuckle Regular"/>
          <w:b w:val="0"/>
          <w:color w:val="1A78B4"/>
          <w:sz w:val="40"/>
          <w:szCs w:val="40"/>
          <w:lang w:eastAsia="de-CH" w:bidi="ar-SA"/>
        </w:rPr>
      </w:pPr>
    </w:p>
    <w:p w14:paraId="462066F9" w14:textId="77777777" w:rsidR="004D0941" w:rsidRDefault="004D0941" w:rsidP="00CB2772">
      <w:pPr>
        <w:pStyle w:val="BodyText"/>
        <w:spacing w:before="81"/>
        <w:ind w:left="1206" w:right="1543"/>
        <w:jc w:val="center"/>
        <w:rPr>
          <w:rFonts w:ascii="Nuckle Regular" w:eastAsia="Times New Roman" w:hAnsi="Nuckle Regular"/>
          <w:b w:val="0"/>
          <w:color w:val="1A78B4"/>
          <w:sz w:val="40"/>
          <w:szCs w:val="40"/>
          <w:lang w:eastAsia="de-CH" w:bidi="ar-SA"/>
        </w:rPr>
      </w:pPr>
    </w:p>
    <w:p w14:paraId="5B12D7FE" w14:textId="77777777" w:rsidR="00D15844" w:rsidRDefault="00D15844" w:rsidP="00CB2772">
      <w:pPr>
        <w:pStyle w:val="BodyText"/>
        <w:spacing w:before="81"/>
        <w:ind w:left="1206" w:right="1543"/>
        <w:jc w:val="center"/>
        <w:rPr>
          <w:rFonts w:ascii="Nuckle Regular" w:eastAsia="Times New Roman" w:hAnsi="Nuckle Regular"/>
          <w:b w:val="0"/>
          <w:color w:val="1A78B4"/>
          <w:sz w:val="40"/>
          <w:szCs w:val="40"/>
          <w:lang w:eastAsia="de-CH" w:bidi="ar-SA"/>
        </w:rPr>
      </w:pPr>
    </w:p>
    <w:p w14:paraId="03DAB700" w14:textId="77777777" w:rsidR="00CB2772" w:rsidRDefault="00CB2772" w:rsidP="00CB2772">
      <w:pPr>
        <w:pStyle w:val="BodyText"/>
        <w:spacing w:before="81"/>
        <w:ind w:left="1206" w:right="1543"/>
        <w:jc w:val="center"/>
        <w:rPr>
          <w:rFonts w:ascii="Nuckle Regular" w:eastAsia="Times New Roman" w:hAnsi="Nuckle Regular"/>
          <w:b w:val="0"/>
          <w:color w:val="1A78B4"/>
          <w:sz w:val="40"/>
          <w:szCs w:val="40"/>
          <w:lang w:eastAsia="de-CH" w:bidi="ar-SA"/>
        </w:rPr>
      </w:pPr>
    </w:p>
    <w:p w14:paraId="57F808F3" w14:textId="77777777" w:rsidR="00CB2772" w:rsidRDefault="00CB2772" w:rsidP="00CB2772">
      <w:pPr>
        <w:pStyle w:val="BodyText"/>
        <w:spacing w:before="81"/>
        <w:ind w:left="1206" w:right="1543"/>
        <w:jc w:val="center"/>
        <w:rPr>
          <w:rFonts w:ascii="Nuckle Regular" w:eastAsia="Times New Roman" w:hAnsi="Nuckle Regular"/>
          <w:b w:val="0"/>
          <w:color w:val="1A78B4"/>
          <w:sz w:val="40"/>
          <w:szCs w:val="40"/>
          <w:lang w:eastAsia="de-CH" w:bidi="ar-SA"/>
        </w:rPr>
      </w:pPr>
    </w:p>
    <w:p w14:paraId="77DCDCB7" w14:textId="77777777" w:rsidR="00CB2772" w:rsidRDefault="00CB2772" w:rsidP="6A6C59B7">
      <w:pPr>
        <w:pStyle w:val="BodyText"/>
        <w:spacing w:before="81"/>
        <w:ind w:left="1206" w:right="1543"/>
        <w:rPr>
          <w:rFonts w:ascii="Nuckle Regular" w:eastAsia="Times New Roman" w:hAnsi="Nuckle Regular"/>
          <w:b w:val="0"/>
          <w:bCs w:val="0"/>
          <w:color w:val="1A78B4"/>
          <w:sz w:val="40"/>
          <w:szCs w:val="40"/>
          <w:lang w:eastAsia="de-CH" w:bidi="ar-SA"/>
        </w:rPr>
      </w:pPr>
    </w:p>
    <w:p w14:paraId="4134E369" w14:textId="7A120CEC" w:rsidR="00CB2772" w:rsidRPr="003439A4" w:rsidRDefault="00CB2772" w:rsidP="00F11330">
      <w:pPr>
        <w:pStyle w:val="BodyText"/>
        <w:spacing w:before="81"/>
        <w:ind w:right="1543"/>
        <w:jc w:val="center"/>
        <w:rPr>
          <w:rFonts w:ascii="Nuckle Regular" w:eastAsia="Times New Roman" w:hAnsi="Nuckle Regular"/>
          <w:b w:val="0"/>
          <w:bCs w:val="0"/>
          <w:color w:val="1A78B4"/>
          <w:sz w:val="40"/>
          <w:szCs w:val="40"/>
          <w:lang w:eastAsia="de-CH" w:bidi="ar-SA"/>
        </w:rPr>
      </w:pPr>
      <w:r w:rsidRPr="6A6C59B7">
        <w:rPr>
          <w:rFonts w:ascii="Nuckle Regular" w:eastAsia="Times New Roman" w:hAnsi="Nuckle Regular"/>
          <w:b w:val="0"/>
          <w:bCs w:val="0"/>
          <w:color w:val="1A78B4"/>
          <w:sz w:val="40"/>
          <w:szCs w:val="40"/>
          <w:lang w:eastAsia="de-CH" w:bidi="ar-SA"/>
        </w:rPr>
        <w:t>Measurement and Evaluation</w:t>
      </w:r>
      <w:r w:rsidR="00E842F2" w:rsidRPr="6A6C59B7">
        <w:rPr>
          <w:rFonts w:ascii="Nuckle Regular" w:eastAsia="Times New Roman" w:hAnsi="Nuckle Regular"/>
          <w:b w:val="0"/>
          <w:bCs w:val="0"/>
          <w:color w:val="1A78B4"/>
          <w:sz w:val="40"/>
          <w:szCs w:val="40"/>
          <w:lang w:eastAsia="de-CH" w:bidi="ar-SA"/>
        </w:rPr>
        <w:t xml:space="preserve"> for</w:t>
      </w:r>
      <w:r w:rsidR="5BBE77FA" w:rsidRPr="6A6C59B7">
        <w:rPr>
          <w:rFonts w:ascii="Nuckle Regular" w:eastAsia="Times New Roman" w:hAnsi="Nuckle Regular"/>
          <w:b w:val="0"/>
          <w:bCs w:val="0"/>
          <w:color w:val="1A78B4"/>
          <w:sz w:val="40"/>
          <w:szCs w:val="40"/>
          <w:lang w:eastAsia="de-CH" w:bidi="ar-SA"/>
        </w:rPr>
        <w:t xml:space="preserve"> </w:t>
      </w:r>
      <w:r w:rsidR="0013589D" w:rsidRPr="6A6C59B7">
        <w:rPr>
          <w:rFonts w:ascii="Nuckle Regular" w:eastAsia="Times New Roman" w:hAnsi="Nuckle Regular"/>
          <w:b w:val="0"/>
          <w:bCs w:val="0"/>
          <w:color w:val="1A78B4"/>
          <w:sz w:val="40"/>
          <w:szCs w:val="40"/>
          <w:lang w:eastAsia="de-CH" w:bidi="ar-SA"/>
        </w:rPr>
        <w:t>Learning and improvement</w:t>
      </w:r>
    </w:p>
    <w:p w14:paraId="57F90951" w14:textId="77777777" w:rsidR="00C8443B" w:rsidRDefault="00C8443B" w:rsidP="6A6C59B7">
      <w:pPr>
        <w:spacing w:before="240" w:after="120" w:line="276" w:lineRule="auto"/>
        <w:jc w:val="center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7A30D1EB" w14:textId="4412336B" w:rsidR="00CB2772" w:rsidRPr="00F2467F" w:rsidRDefault="00CB2772" w:rsidP="00F11330">
      <w:pPr>
        <w:spacing w:before="240" w:after="120" w:line="276" w:lineRule="auto"/>
        <w:jc w:val="center"/>
        <w:rPr>
          <w:rFonts w:ascii="Nuckle Semibold" w:eastAsia="Arial Nova" w:hAnsi="Nuckle Semibold" w:cs="Arial Nova"/>
          <w:color w:val="156082"/>
          <w:sz w:val="32"/>
          <w:szCs w:val="32"/>
        </w:rPr>
      </w:pPr>
      <w:r w:rsidRPr="00F2467F">
        <w:rPr>
          <w:rFonts w:ascii="Nuckle Semibold" w:eastAsia="Arial Nova" w:hAnsi="Nuckle Semibold" w:cs="Arial Nova"/>
          <w:color w:val="156082"/>
          <w:sz w:val="32"/>
          <w:szCs w:val="32"/>
        </w:rPr>
        <w:t>Optional Extension</w:t>
      </w:r>
      <w:r w:rsidR="00A84D0D" w:rsidRPr="00F2467F">
        <w:rPr>
          <w:rFonts w:ascii="Nuckle Semibold" w:eastAsia="Arial Nova" w:hAnsi="Nuckle Semibold" w:cs="Arial Nova"/>
          <w:color w:val="156082"/>
          <w:sz w:val="32"/>
          <w:szCs w:val="32"/>
        </w:rPr>
        <w:t>s</w:t>
      </w:r>
    </w:p>
    <w:p w14:paraId="0E522311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312AA42E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4E170CCD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3C8142B9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2A50C87E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3D941176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5665F09D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08A792FA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60E8C242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0373652E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1D9CB4B6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299427F4" w14:textId="77777777" w:rsidR="00CB2772" w:rsidRDefault="00CB2772" w:rsidP="049BF0A8">
      <w:pPr>
        <w:spacing w:before="240" w:after="120" w:line="276" w:lineRule="auto"/>
        <w:rPr>
          <w:rFonts w:ascii="Arial Nova" w:eastAsia="Arial Nova" w:hAnsi="Arial Nova" w:cs="Arial Nova"/>
          <w:b/>
          <w:bCs/>
          <w:color w:val="FF6B46"/>
          <w:sz w:val="20"/>
          <w:szCs w:val="20"/>
        </w:rPr>
      </w:pPr>
    </w:p>
    <w:p w14:paraId="631C09CD" w14:textId="77777777" w:rsidR="00D15844" w:rsidRDefault="00D15844" w:rsidP="6A6C59B7">
      <w:pPr>
        <w:pStyle w:val="BodyText"/>
        <w:spacing w:before="240" w:after="120" w:line="276" w:lineRule="auto"/>
        <w:rPr>
          <w:rFonts w:ascii="Nuckle Regular" w:hAnsi="Nuckle Regular"/>
          <w:color w:val="FF6B46"/>
          <w:sz w:val="24"/>
          <w:szCs w:val="24"/>
        </w:rPr>
      </w:pPr>
    </w:p>
    <w:p w14:paraId="31BBAAA0" w14:textId="77777777" w:rsidR="00D15844" w:rsidRDefault="00D15844" w:rsidP="6A6C59B7">
      <w:pPr>
        <w:pStyle w:val="BodyText"/>
        <w:spacing w:before="240" w:after="120" w:line="276" w:lineRule="auto"/>
        <w:rPr>
          <w:rFonts w:ascii="Nuckle Regular" w:hAnsi="Nuckle Regular"/>
          <w:color w:val="FF6B46"/>
          <w:sz w:val="24"/>
          <w:szCs w:val="24"/>
        </w:rPr>
      </w:pPr>
    </w:p>
    <w:p w14:paraId="211EBD9D" w14:textId="169FD8C0" w:rsidR="00F6076F" w:rsidRDefault="00F6076F" w:rsidP="6A6C59B7">
      <w:pPr>
        <w:pStyle w:val="BodyText"/>
        <w:spacing w:before="240" w:after="120" w:line="276" w:lineRule="auto"/>
        <w:rPr>
          <w:rFonts w:ascii="Nuckle Regular" w:hAnsi="Nuckle Regular"/>
          <w:color w:val="FF6B46"/>
          <w:sz w:val="24"/>
          <w:szCs w:val="24"/>
        </w:rPr>
      </w:pPr>
      <w:r w:rsidRPr="6A6C59B7">
        <w:rPr>
          <w:rFonts w:ascii="Nuckle Regular" w:hAnsi="Nuckle Regular"/>
          <w:color w:val="FF6B46"/>
          <w:sz w:val="24"/>
          <w:szCs w:val="24"/>
        </w:rPr>
        <w:t xml:space="preserve">Version 2.0 </w:t>
      </w:r>
      <w:r w:rsidR="0000360E">
        <w:rPr>
          <w:rFonts w:ascii="Nuckle Regular" w:hAnsi="Nuckle Regular"/>
          <w:color w:val="FF6B46"/>
          <w:sz w:val="24"/>
          <w:szCs w:val="24"/>
        </w:rPr>
        <w:t>October</w:t>
      </w:r>
      <w:r w:rsidRPr="6A6C59B7">
        <w:rPr>
          <w:rFonts w:ascii="Nuckle Regular" w:hAnsi="Nuckle Regular"/>
          <w:color w:val="FF6B46"/>
          <w:sz w:val="24"/>
          <w:szCs w:val="24"/>
        </w:rPr>
        <w:t xml:space="preserve"> 202</w:t>
      </w:r>
      <w:r w:rsidR="1319FCE5" w:rsidRPr="6A6C59B7">
        <w:rPr>
          <w:rFonts w:ascii="Nuckle Regular" w:hAnsi="Nuckle Regular"/>
          <w:color w:val="FF6B46"/>
          <w:sz w:val="24"/>
          <w:szCs w:val="24"/>
        </w:rPr>
        <w:t>5</w:t>
      </w:r>
    </w:p>
    <w:p w14:paraId="72664683" w14:textId="224ED47F" w:rsidR="6A6C59B7" w:rsidRDefault="6A6C59B7" w:rsidP="6A6C59B7">
      <w:pPr>
        <w:tabs>
          <w:tab w:val="left" w:pos="577"/>
          <w:tab w:val="left" w:pos="578"/>
        </w:tabs>
        <w:spacing w:after="120" w:line="238" w:lineRule="auto"/>
        <w:jc w:val="both"/>
        <w:rPr>
          <w:rFonts w:ascii="Arial Nova" w:eastAsia="Arial Nova" w:hAnsi="Arial Nova" w:cs="Arial Nova"/>
          <w:b/>
          <w:bCs/>
          <w:color w:val="FF6B46"/>
          <w:sz w:val="28"/>
          <w:szCs w:val="28"/>
        </w:rPr>
      </w:pPr>
    </w:p>
    <w:p w14:paraId="47E8930F" w14:textId="2F74164A" w:rsidR="00F6076F" w:rsidRPr="00A84D0D" w:rsidRDefault="00F6076F" w:rsidP="049BF0A8">
      <w:pPr>
        <w:tabs>
          <w:tab w:val="left" w:pos="577"/>
          <w:tab w:val="left" w:pos="578"/>
        </w:tabs>
        <w:spacing w:after="120" w:line="238" w:lineRule="auto"/>
        <w:jc w:val="both"/>
        <w:rPr>
          <w:rFonts w:ascii="Arial Nova" w:eastAsia="Arial Nova" w:hAnsi="Arial Nova" w:cs="Arial Nova"/>
          <w:b/>
          <w:bCs/>
          <w:color w:val="FF6B46"/>
          <w:sz w:val="28"/>
          <w:szCs w:val="28"/>
        </w:rPr>
      </w:pPr>
      <w:r w:rsidRPr="00A84D0D">
        <w:rPr>
          <w:rFonts w:ascii="Arial Nova" w:eastAsia="Arial Nova" w:hAnsi="Arial Nova" w:cs="Arial Nova"/>
          <w:b/>
          <w:bCs/>
          <w:color w:val="FF6B46"/>
          <w:sz w:val="28"/>
          <w:szCs w:val="28"/>
        </w:rPr>
        <w:t>Theory of Change</w:t>
      </w:r>
    </w:p>
    <w:p w14:paraId="37837BBD" w14:textId="1CCD1ADC" w:rsidR="5FCDFEE7" w:rsidRDefault="2444E5BE" w:rsidP="6A6C59B7">
      <w:pPr>
        <w:tabs>
          <w:tab w:val="left" w:pos="577"/>
          <w:tab w:val="left" w:pos="578"/>
        </w:tabs>
        <w:spacing w:after="120" w:line="276" w:lineRule="auto"/>
        <w:jc w:val="both"/>
        <w:rPr>
          <w:rFonts w:ascii="Arial Nova" w:eastAsia="Arial Nova" w:hAnsi="Arial Nova" w:cs="Arial Nova"/>
          <w:color w:val="1D3D51"/>
          <w:sz w:val="20"/>
          <w:szCs w:val="20"/>
        </w:rPr>
      </w:pPr>
      <w:r w:rsidRPr="6A6C59B7">
        <w:rPr>
          <w:rFonts w:ascii="Arial Nova" w:eastAsia="Arial Nova" w:hAnsi="Arial Nova" w:cs="Arial Nova"/>
          <w:sz w:val="20"/>
          <w:szCs w:val="20"/>
        </w:rPr>
        <w:t>The creation of a</w:t>
      </w:r>
      <w:r w:rsidRPr="6A6C59B7">
        <w:rPr>
          <w:rFonts w:ascii="Arial Nova" w:eastAsia="Arial Nova" w:hAnsi="Arial Nova" w:cs="Arial Nova"/>
          <w:b/>
          <w:bCs/>
          <w:color w:val="1A78B4"/>
          <w:sz w:val="20"/>
          <w:szCs w:val="20"/>
        </w:rPr>
        <w:t xml:space="preserve"> Theory of Change (TOC)</w:t>
      </w:r>
      <w:r w:rsidRPr="6A6C59B7">
        <w:rPr>
          <w:rFonts w:ascii="Arial Nova" w:eastAsia="Arial Nova" w:hAnsi="Arial Nova" w:cs="Arial Nova"/>
          <w:color w:val="1D3D51"/>
          <w:sz w:val="20"/>
          <w:szCs w:val="20"/>
        </w:rPr>
        <w:t xml:space="preserve"> is optional</w:t>
      </w:r>
      <w:r w:rsidR="0030269E" w:rsidRPr="6A6C59B7">
        <w:rPr>
          <w:rFonts w:ascii="Arial Nova" w:eastAsia="Arial Nova" w:hAnsi="Arial Nova" w:cs="Arial Nova"/>
          <w:color w:val="1D3D51"/>
          <w:sz w:val="20"/>
          <w:szCs w:val="20"/>
        </w:rPr>
        <w:t>, but highly encouraged,</w:t>
      </w:r>
      <w:r w:rsidRPr="6A6C59B7">
        <w:rPr>
          <w:rFonts w:ascii="Arial Nova" w:eastAsia="Arial Nova" w:hAnsi="Arial Nova" w:cs="Arial Nova"/>
          <w:color w:val="1D3D51"/>
          <w:sz w:val="20"/>
          <w:szCs w:val="20"/>
        </w:rPr>
        <w:t xml:space="preserve"> for all initiatives. It </w:t>
      </w:r>
      <w:r w:rsidR="00BC7D7E" w:rsidRPr="6A6C59B7">
        <w:rPr>
          <w:rFonts w:ascii="Arial Nova" w:eastAsia="Arial Nova" w:hAnsi="Arial Nova" w:cs="Arial Nova"/>
          <w:color w:val="1D3D51"/>
          <w:sz w:val="20"/>
          <w:szCs w:val="20"/>
        </w:rPr>
        <w:t>should</w:t>
      </w:r>
      <w:r w:rsidRPr="6A6C59B7">
        <w:rPr>
          <w:rFonts w:ascii="Arial Nova" w:eastAsia="Arial Nova" w:hAnsi="Arial Nova" w:cs="Arial Nova"/>
          <w:color w:val="1D3D51"/>
          <w:sz w:val="20"/>
          <w:szCs w:val="20"/>
        </w:rPr>
        <w:t xml:space="preserve"> be developed at the proposal design phase of the initiative grant. It does not replace the Rubrics Template</w:t>
      </w:r>
      <w:r w:rsidR="006C392A" w:rsidRPr="6A6C59B7">
        <w:rPr>
          <w:rFonts w:ascii="Arial Nova" w:eastAsia="Arial Nova" w:hAnsi="Arial Nova" w:cs="Arial Nova"/>
          <w:color w:val="1D3D51"/>
          <w:sz w:val="20"/>
          <w:szCs w:val="20"/>
        </w:rPr>
        <w:t xml:space="preserve">, but it serves to inform the appropriate overlap with the Laudes TOC and then the selection of rubrics for measuring change. </w:t>
      </w:r>
    </w:p>
    <w:p w14:paraId="73D918DE" w14:textId="6221FBCE" w:rsidR="5FCDFEE7" w:rsidRDefault="2444E5BE" w:rsidP="6A6C59B7">
      <w:pPr>
        <w:tabs>
          <w:tab w:val="left" w:pos="577"/>
          <w:tab w:val="left" w:pos="578"/>
          <w:tab w:val="left" w:pos="15309"/>
        </w:tabs>
        <w:spacing w:after="120" w:line="276" w:lineRule="auto"/>
        <w:jc w:val="both"/>
        <w:rPr>
          <w:rFonts w:ascii="Arial Nova" w:eastAsia="Arial Nova" w:hAnsi="Arial Nova" w:cs="Arial Nova"/>
          <w:color w:val="1D3D51"/>
          <w:sz w:val="20"/>
          <w:szCs w:val="20"/>
        </w:rPr>
      </w:pPr>
      <w:r w:rsidRPr="6A6C59B7">
        <w:rPr>
          <w:rFonts w:ascii="Arial Nova" w:eastAsia="Arial Nova" w:hAnsi="Arial Nova" w:cs="Arial Nova"/>
          <w:color w:val="1D3D51"/>
          <w:sz w:val="20"/>
          <w:szCs w:val="20"/>
        </w:rPr>
        <w:t xml:space="preserve">There are many definitions of a ‘theory of change’ (TOC) – in essence; it is a blueprint of the building blocks needed to create long-term social change. </w:t>
      </w:r>
      <w:r w:rsidR="00584C4F" w:rsidRPr="6A6C59B7">
        <w:rPr>
          <w:rFonts w:ascii="Arial Nova" w:eastAsia="Arial Nova" w:hAnsi="Arial Nova" w:cs="Arial Nova"/>
          <w:color w:val="1D3D51"/>
          <w:sz w:val="20"/>
          <w:szCs w:val="20"/>
        </w:rPr>
        <w:t>Building blocks strategies for intervening; early and later expected changes, outcomes, assumptions (supportive and those that will ‘kill’ the pathways towards impact) and contexts (policy, political, environmental, socio-economic, cultural) within which an initiative (single or multiple) or organisation is embedded, that are necessary to achieve impact(s).</w:t>
      </w:r>
    </w:p>
    <w:p w14:paraId="173D51FC" w14:textId="0A24E932" w:rsidR="5FCDFEE7" w:rsidRDefault="2444E5BE" w:rsidP="0089659F">
      <w:pPr>
        <w:tabs>
          <w:tab w:val="left" w:pos="577"/>
          <w:tab w:val="left" w:pos="578"/>
        </w:tabs>
        <w:spacing w:after="120" w:line="276" w:lineRule="auto"/>
        <w:jc w:val="both"/>
      </w:pPr>
      <w:r w:rsidRPr="049BF0A8">
        <w:rPr>
          <w:rFonts w:ascii="Arial Nova" w:eastAsia="Arial Nova" w:hAnsi="Arial Nova" w:cs="Arial Nova"/>
          <w:color w:val="1D3D51"/>
          <w:sz w:val="20"/>
          <w:szCs w:val="20"/>
        </w:rPr>
        <w:t>The key value of a TOC is that it visually conveys beliefs about why the initiative, programme or organisation is likely to succeed in reaching its goals. Unlike a logical framework, which is associated with focused and discrete initiatives, a TOC can be developed for strategies, programme(s), initiatives, groups of organisations working together towards common goals (collective impact), convenings and research initiatives.</w:t>
      </w:r>
    </w:p>
    <w:p w14:paraId="20ADE859" w14:textId="7A23444A" w:rsidR="0000360E" w:rsidRDefault="2444E5BE" w:rsidP="0003270B">
      <w:pPr>
        <w:tabs>
          <w:tab w:val="left" w:pos="577"/>
          <w:tab w:val="left" w:pos="578"/>
        </w:tabs>
        <w:spacing w:after="120" w:line="276" w:lineRule="auto"/>
        <w:jc w:val="both"/>
      </w:pPr>
      <w:r w:rsidRPr="6A6C59B7">
        <w:rPr>
          <w:rFonts w:ascii="Arial Nova" w:eastAsia="Arial Nova" w:hAnsi="Arial Nova" w:cs="Arial Nova"/>
          <w:color w:val="1D3D51"/>
          <w:sz w:val="20"/>
          <w:szCs w:val="20"/>
        </w:rPr>
        <w:t xml:space="preserve">The Theory of Change template is given </w:t>
      </w:r>
      <w:r w:rsidR="46FE8C38" w:rsidRPr="6A6C59B7">
        <w:rPr>
          <w:rFonts w:ascii="Arial Nova" w:eastAsia="Arial Nova" w:hAnsi="Arial Nova" w:cs="Arial Nova"/>
          <w:color w:val="1D3D51"/>
          <w:sz w:val="20"/>
          <w:szCs w:val="20"/>
        </w:rPr>
        <w:t>below,</w:t>
      </w:r>
      <w:r w:rsidRPr="6A6C59B7">
        <w:rPr>
          <w:rFonts w:ascii="Arial Nova" w:eastAsia="Arial Nova" w:hAnsi="Arial Nova" w:cs="Arial Nova"/>
          <w:color w:val="1D3D51"/>
          <w:sz w:val="20"/>
          <w:szCs w:val="20"/>
        </w:rPr>
        <w:t xml:space="preserve"> and the arrows can be moved to draw the causal pathways. </w:t>
      </w:r>
    </w:p>
    <w:p w14:paraId="607ACCE2" w14:textId="019DAAF1" w:rsidR="5FCDFEE7" w:rsidRDefault="2444E5BE" w:rsidP="049BF0A8">
      <w:pPr>
        <w:tabs>
          <w:tab w:val="left" w:pos="577"/>
          <w:tab w:val="left" w:pos="578"/>
        </w:tabs>
        <w:spacing w:after="120"/>
        <w:jc w:val="both"/>
      </w:pPr>
      <w:r>
        <w:rPr>
          <w:noProof/>
        </w:rPr>
        <w:drawing>
          <wp:inline distT="0" distB="0" distL="0" distR="0" wp14:anchorId="45DFDF5E" wp14:editId="71F6A00F">
            <wp:extent cx="4942390" cy="2980995"/>
            <wp:effectExtent l="0" t="0" r="0" b="0"/>
            <wp:docPr id="294669557" name="Picture 294669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937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32479" w14:textId="22BE42A3" w:rsidR="5FCDFEE7" w:rsidRDefault="2444E5BE" w:rsidP="049BF0A8">
      <w:pPr>
        <w:tabs>
          <w:tab w:val="left" w:pos="577"/>
          <w:tab w:val="left" w:pos="578"/>
        </w:tabs>
        <w:spacing w:after="120"/>
        <w:jc w:val="both"/>
      </w:pPr>
      <w:r w:rsidRPr="049BF0A8">
        <w:rPr>
          <w:rFonts w:ascii="Arial Nova" w:eastAsia="Arial Nova" w:hAnsi="Arial Nova" w:cs="Arial Nova"/>
          <w:b/>
          <w:bCs/>
          <w:color w:val="1A78B4"/>
          <w:sz w:val="20"/>
          <w:szCs w:val="20"/>
        </w:rPr>
        <w:t>Our advice on the creation of a Theory of Change:</w:t>
      </w:r>
    </w:p>
    <w:p w14:paraId="452AA553" w14:textId="7BECDFB2" w:rsidR="5FCDFEE7" w:rsidRDefault="2444E5BE" w:rsidP="049BF0A8">
      <w:pPr>
        <w:pStyle w:val="ListParagraph"/>
        <w:numPr>
          <w:ilvl w:val="0"/>
          <w:numId w:val="7"/>
        </w:numPr>
        <w:spacing w:after="0"/>
        <w:jc w:val="both"/>
        <w:rPr>
          <w:rFonts w:ascii="Arial Nova" w:eastAsia="Arial Nova" w:hAnsi="Arial Nova" w:cs="Arial Nova"/>
          <w:color w:val="1D3D51"/>
          <w:sz w:val="20"/>
          <w:szCs w:val="20"/>
        </w:rPr>
      </w:pPr>
      <w:r w:rsidRPr="049BF0A8">
        <w:rPr>
          <w:rFonts w:ascii="Arial Nova" w:eastAsia="Arial Nova" w:hAnsi="Arial Nova" w:cs="Arial Nova"/>
          <w:color w:val="1D3D51"/>
          <w:sz w:val="20"/>
          <w:szCs w:val="20"/>
        </w:rPr>
        <w:t>The TOC is optional for any initiative grant size. For initiative grants more than €100K the TOC will align with, enable an appropriate selection of rubrics.</w:t>
      </w:r>
    </w:p>
    <w:p w14:paraId="077C4524" w14:textId="00565635" w:rsidR="5FCDFEE7" w:rsidRDefault="2444E5BE" w:rsidP="049BF0A8">
      <w:pPr>
        <w:pStyle w:val="ListParagraph"/>
        <w:numPr>
          <w:ilvl w:val="0"/>
          <w:numId w:val="7"/>
        </w:numPr>
        <w:spacing w:after="0"/>
        <w:jc w:val="both"/>
        <w:rPr>
          <w:rFonts w:ascii="Arial Nova" w:eastAsia="Arial Nova" w:hAnsi="Arial Nova" w:cs="Arial Nova"/>
          <w:color w:val="1D3D51"/>
          <w:sz w:val="20"/>
          <w:szCs w:val="20"/>
        </w:rPr>
      </w:pPr>
      <w:r w:rsidRPr="049BF0A8">
        <w:rPr>
          <w:rFonts w:ascii="Arial Nova" w:eastAsia="Arial Nova" w:hAnsi="Arial Nova" w:cs="Arial Nova"/>
          <w:color w:val="1D3D51"/>
          <w:sz w:val="20"/>
          <w:szCs w:val="20"/>
        </w:rPr>
        <w:t xml:space="preserve">Having a TOC is encouraged for partner organisations receiving General Operating Support. </w:t>
      </w:r>
    </w:p>
    <w:p w14:paraId="0932B1C0" w14:textId="52CD16C9" w:rsidR="5FCDFEE7" w:rsidRDefault="2444E5BE" w:rsidP="049BF0A8">
      <w:pPr>
        <w:pStyle w:val="ListParagraph"/>
        <w:numPr>
          <w:ilvl w:val="0"/>
          <w:numId w:val="7"/>
        </w:numPr>
        <w:spacing w:after="0"/>
        <w:jc w:val="both"/>
        <w:rPr>
          <w:rFonts w:ascii="Arial Nova" w:eastAsia="Arial Nova" w:hAnsi="Arial Nova" w:cs="Arial Nova"/>
          <w:color w:val="0000FF"/>
          <w:sz w:val="20"/>
          <w:szCs w:val="20"/>
          <w:u w:val="single"/>
        </w:rPr>
      </w:pPr>
      <w:r w:rsidRPr="049BF0A8">
        <w:rPr>
          <w:rFonts w:ascii="Arial Nova" w:eastAsia="Arial Nova" w:hAnsi="Arial Nova" w:cs="Arial Nova"/>
          <w:color w:val="1D3D51"/>
          <w:sz w:val="20"/>
          <w:szCs w:val="20"/>
        </w:rPr>
        <w:t xml:space="preserve">The TOC should define causal pathways moving from early / later changes to outcomes. It will identify the problem statement, assumptions and risks. A TOC template is given in Annex 2 alongside questions to be posed while developing and preparing it. The TOC may also link to the </w:t>
      </w:r>
      <w:hyperlink r:id="rId12">
        <w:r w:rsidRPr="049BF0A8">
          <w:rPr>
            <w:rStyle w:val="Hyperlink"/>
            <w:rFonts w:ascii="Arial Nova" w:eastAsia="Arial Nova" w:hAnsi="Arial Nova" w:cs="Arial Nova"/>
            <w:color w:val="0000FF"/>
            <w:sz w:val="20"/>
            <w:szCs w:val="20"/>
          </w:rPr>
          <w:t>Laudes Foundation Theory of Change.</w:t>
        </w:r>
      </w:hyperlink>
    </w:p>
    <w:p w14:paraId="687CF995" w14:textId="00B9F78F" w:rsidR="5FCDFEE7" w:rsidRDefault="2444E5BE" w:rsidP="049BF0A8">
      <w:pPr>
        <w:pStyle w:val="ListParagraph"/>
        <w:numPr>
          <w:ilvl w:val="0"/>
          <w:numId w:val="7"/>
        </w:numPr>
        <w:spacing w:after="0"/>
        <w:jc w:val="both"/>
        <w:rPr>
          <w:rFonts w:ascii="Arial Nova" w:eastAsia="Arial Nova" w:hAnsi="Arial Nova" w:cs="Arial Nova"/>
          <w:color w:val="1D3D51"/>
          <w:sz w:val="20"/>
          <w:szCs w:val="20"/>
        </w:rPr>
      </w:pPr>
      <w:r w:rsidRPr="049BF0A8">
        <w:rPr>
          <w:rFonts w:ascii="Arial Nova" w:eastAsia="Arial Nova" w:hAnsi="Arial Nova" w:cs="Arial Nova"/>
          <w:color w:val="1D3D51"/>
          <w:sz w:val="20"/>
          <w:szCs w:val="20"/>
        </w:rPr>
        <w:t>The TOC should be developed by the partner. Advice to develop a TOC can be provided by the Effective Philanthropy Team or an approved consultant on request.</w:t>
      </w:r>
    </w:p>
    <w:p w14:paraId="45C1A6D7" w14:textId="0C0B0FB6" w:rsidR="5FCDFEE7" w:rsidRDefault="2444E5BE" w:rsidP="049BF0A8">
      <w:pPr>
        <w:spacing w:after="120"/>
      </w:pPr>
      <w:r w:rsidRPr="049BF0A8">
        <w:rPr>
          <w:rFonts w:ascii="Arial Nova" w:eastAsia="Arial Nova" w:hAnsi="Arial Nova" w:cs="Arial Nova"/>
          <w:color w:val="1A78B4"/>
          <w:sz w:val="20"/>
          <w:szCs w:val="20"/>
        </w:rPr>
        <w:t xml:space="preserve"> </w:t>
      </w:r>
    </w:p>
    <w:p w14:paraId="51F72526" w14:textId="763F3148" w:rsidR="5FCDFEE7" w:rsidRDefault="2444E5BE" w:rsidP="0003270B">
      <w:pPr>
        <w:spacing w:after="120"/>
      </w:pPr>
      <w:r w:rsidRPr="049BF0A8">
        <w:rPr>
          <w:rFonts w:ascii="Arial Nova" w:eastAsia="Arial Nova" w:hAnsi="Arial Nova" w:cs="Arial Nova"/>
          <w:b/>
          <w:bCs/>
          <w:color w:val="1A78B4"/>
          <w:sz w:val="20"/>
          <w:szCs w:val="20"/>
        </w:rPr>
        <w:t>Suggested Guiding Questions to Develop a Theory of Change</w:t>
      </w:r>
    </w:p>
    <w:p w14:paraId="2B823372" w14:textId="4EDE1EF4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color w:val="FF6B46"/>
          <w:sz w:val="20"/>
          <w:szCs w:val="20"/>
        </w:rPr>
        <w:t>What are the root causes that lead to...?</w:t>
      </w:r>
    </w:p>
    <w:p w14:paraId="3AB8F80D" w14:textId="150C5257" w:rsidR="5FCDFEE7" w:rsidRDefault="2444E5BE" w:rsidP="049BF0A8">
      <w:pPr>
        <w:pStyle w:val="ListParagraph"/>
        <w:numPr>
          <w:ilvl w:val="0"/>
          <w:numId w:val="6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are the "problems" and "needs" that reinforce them in vicious cycles?</w:t>
      </w:r>
    </w:p>
    <w:p w14:paraId="661F7DC4" w14:textId="0A401987" w:rsidR="5FCDFEE7" w:rsidRDefault="2444E5BE" w:rsidP="049BF0A8">
      <w:pPr>
        <w:pStyle w:val="ListParagraph"/>
        <w:numPr>
          <w:ilvl w:val="0"/>
          <w:numId w:val="6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are the "rights" and "potential" that weaken them in virtuous cycles?</w:t>
      </w:r>
    </w:p>
    <w:p w14:paraId="5449FE69" w14:textId="1C7B9B3F" w:rsidR="5FCDFEE7" w:rsidRDefault="2444E5BE" w:rsidP="049BF0A8">
      <w:pPr>
        <w:pStyle w:val="ListParagraph"/>
        <w:numPr>
          <w:ilvl w:val="0"/>
          <w:numId w:val="6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would be the fundamental principles of a system that supports an inclusive and regenerative economy?</w:t>
      </w:r>
    </w:p>
    <w:p w14:paraId="1C0E9620" w14:textId="36AA6F2F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color w:val="FF6B46"/>
          <w:sz w:val="20"/>
          <w:szCs w:val="20"/>
        </w:rPr>
        <w:t xml:space="preserve"> </w:t>
      </w:r>
    </w:p>
    <w:p w14:paraId="0ABE8F40" w14:textId="384479DA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color w:val="FF6B46"/>
          <w:sz w:val="20"/>
          <w:szCs w:val="20"/>
        </w:rPr>
        <w:t>How would you intervene in the system?</w:t>
      </w:r>
    </w:p>
    <w:p w14:paraId="01773A5F" w14:textId="3EE605EC" w:rsidR="5FCDFEE7" w:rsidRDefault="2444E5BE" w:rsidP="049BF0A8">
      <w:pPr>
        <w:pStyle w:val="ListParagraph"/>
        <w:numPr>
          <w:ilvl w:val="0"/>
          <w:numId w:val="5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Which leverage points are important for creating enough pressure to 'flip' the system?</w:t>
      </w:r>
    </w:p>
    <w:p w14:paraId="70F0F917" w14:textId="318EF6F5" w:rsidR="5FCDFEE7" w:rsidRDefault="2444E5BE" w:rsidP="049BF0A8">
      <w:pPr>
        <w:pStyle w:val="ListParagraph"/>
        <w:numPr>
          <w:ilvl w:val="0"/>
          <w:numId w:val="5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How would you intervene in those leverage points?</w:t>
      </w:r>
    </w:p>
    <w:p w14:paraId="1A696635" w14:textId="420C03FE" w:rsidR="5FCDFEE7" w:rsidRDefault="2444E5BE" w:rsidP="049BF0A8">
      <w:pPr>
        <w:pStyle w:val="ListParagraph"/>
        <w:numPr>
          <w:ilvl w:val="0"/>
          <w:numId w:val="5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activities, resources and alliances, would you need?</w:t>
      </w:r>
    </w:p>
    <w:p w14:paraId="79574853" w14:textId="3E3F7CEE" w:rsidR="5FCDFEE7" w:rsidRDefault="2444E5BE" w:rsidP="049BF0A8">
      <w:pPr>
        <w:spacing w:after="0"/>
        <w:jc w:val="both"/>
      </w:pPr>
      <w:r w:rsidRPr="049BF0A8">
        <w:rPr>
          <w:rFonts w:ascii="Arial Nova" w:eastAsia="Arial Nova" w:hAnsi="Arial Nova" w:cs="Arial Nova"/>
          <w:color w:val="1D3D51"/>
          <w:sz w:val="20"/>
          <w:szCs w:val="20"/>
        </w:rPr>
        <w:t xml:space="preserve"> </w:t>
      </w:r>
    </w:p>
    <w:p w14:paraId="65DE2559" w14:textId="6D6E6F17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color w:val="FF6B46"/>
          <w:sz w:val="20"/>
          <w:szCs w:val="20"/>
        </w:rPr>
        <w:t>Where and under what circumstances will changes need to take place?</w:t>
      </w:r>
    </w:p>
    <w:p w14:paraId="63C94951" w14:textId="6CE6A27F" w:rsidR="5FCDFEE7" w:rsidRDefault="2444E5BE" w:rsidP="049BF0A8">
      <w:pPr>
        <w:pStyle w:val="ListParagraph"/>
        <w:numPr>
          <w:ilvl w:val="0"/>
          <w:numId w:val="4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are some context scenarios that could make system shift difficult</w:t>
      </w:r>
    </w:p>
    <w:p w14:paraId="3999A00C" w14:textId="3C8D6E69" w:rsidR="5FCDFEE7" w:rsidRDefault="2444E5BE" w:rsidP="049BF0A8">
      <w:pPr>
        <w:pStyle w:val="ListParagraph"/>
        <w:numPr>
          <w:ilvl w:val="0"/>
          <w:numId w:val="4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are some context scenarios that could derail key pathways to change?</w:t>
      </w:r>
    </w:p>
    <w:p w14:paraId="343D89AE" w14:textId="709A0F43" w:rsidR="5FCDFEE7" w:rsidRDefault="2444E5BE" w:rsidP="049BF0A8">
      <w:pPr>
        <w:pStyle w:val="ListParagraph"/>
        <w:numPr>
          <w:ilvl w:val="0"/>
          <w:numId w:val="4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For both, consider political, cultural, economic, mass migration, Covid-19 (pandemics), significant climate events, etc.</w:t>
      </w:r>
    </w:p>
    <w:p w14:paraId="1AB7D378" w14:textId="179AB09C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color w:val="FF6B46"/>
          <w:sz w:val="20"/>
          <w:szCs w:val="20"/>
        </w:rPr>
        <w:t xml:space="preserve"> </w:t>
      </w:r>
    </w:p>
    <w:p w14:paraId="461CA1E6" w14:textId="0DC8F237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color w:val="FF6B46"/>
          <w:sz w:val="20"/>
          <w:szCs w:val="20"/>
        </w:rPr>
        <w:t>Why do you believe your theory will hold true?</w:t>
      </w:r>
    </w:p>
    <w:p w14:paraId="01B63BAF" w14:textId="0CA9A84C" w:rsidR="5FCDFEE7" w:rsidRDefault="2444E5BE" w:rsidP="049BF0A8">
      <w:pPr>
        <w:pStyle w:val="ListParagraph"/>
        <w:numPr>
          <w:ilvl w:val="0"/>
          <w:numId w:val="3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are your assumptions?</w:t>
      </w:r>
    </w:p>
    <w:p w14:paraId="1645E6F8" w14:textId="04666367" w:rsidR="5FCDFEE7" w:rsidRDefault="2444E5BE" w:rsidP="049BF0A8">
      <w:pPr>
        <w:pStyle w:val="ListParagraph"/>
        <w:numPr>
          <w:ilvl w:val="0"/>
          <w:numId w:val="3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are the threats to your strategy(-</w:t>
      </w:r>
      <w:proofErr w:type="spellStart"/>
      <w:r w:rsidRPr="049BF0A8">
        <w:rPr>
          <w:rFonts w:ascii="Arial Nova" w:eastAsia="Arial Nova" w:hAnsi="Arial Nova" w:cs="Arial Nova"/>
          <w:sz w:val="20"/>
          <w:szCs w:val="20"/>
        </w:rPr>
        <w:t>ies</w:t>
      </w:r>
      <w:proofErr w:type="spellEnd"/>
      <w:r w:rsidRPr="049BF0A8">
        <w:rPr>
          <w:rFonts w:ascii="Arial Nova" w:eastAsia="Arial Nova" w:hAnsi="Arial Nova" w:cs="Arial Nova"/>
          <w:sz w:val="20"/>
          <w:szCs w:val="20"/>
        </w:rPr>
        <w:t>)?</w:t>
      </w:r>
    </w:p>
    <w:p w14:paraId="5F696BAE" w14:textId="347149E2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10533021" w14:textId="0FBFC8C1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color w:val="FF6B46"/>
          <w:sz w:val="20"/>
          <w:szCs w:val="20"/>
        </w:rPr>
        <w:t>How would you know if you're moving in the right direction or not?</w:t>
      </w:r>
    </w:p>
    <w:p w14:paraId="21125035" w14:textId="068C26DB" w:rsidR="5FCDFEE7" w:rsidRDefault="2444E5BE" w:rsidP="049BF0A8">
      <w:pPr>
        <w:pStyle w:val="ListParagraph"/>
        <w:numPr>
          <w:ilvl w:val="0"/>
          <w:numId w:val="2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are the early signs of traction likely to be?</w:t>
      </w:r>
    </w:p>
    <w:p w14:paraId="28585C22" w14:textId="446DE45A" w:rsidR="5FCDFEE7" w:rsidRDefault="2444E5BE" w:rsidP="049BF0A8">
      <w:pPr>
        <w:pStyle w:val="ListParagraph"/>
        <w:numPr>
          <w:ilvl w:val="0"/>
          <w:numId w:val="2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about early signs of failure?</w:t>
      </w:r>
    </w:p>
    <w:p w14:paraId="0C1341C8" w14:textId="1E77ED83" w:rsidR="5FCDFEE7" w:rsidRDefault="2444E5BE" w:rsidP="049BF0A8">
      <w:pPr>
        <w:pStyle w:val="ListParagraph"/>
        <w:numPr>
          <w:ilvl w:val="0"/>
          <w:numId w:val="2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What will be the key elements needed to embed changes in the system and make it impossible to revert back to the previous state?</w:t>
      </w:r>
    </w:p>
    <w:p w14:paraId="6450AD4B" w14:textId="3B7EEBDF" w:rsidR="5FCDFEE7" w:rsidRDefault="2444E5BE" w:rsidP="049BF0A8">
      <w:pPr>
        <w:pStyle w:val="ListParagraph"/>
        <w:numPr>
          <w:ilvl w:val="0"/>
          <w:numId w:val="2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>How will you know when the new state is sufficiently stable?</w:t>
      </w:r>
    </w:p>
    <w:p w14:paraId="73F7B4D5" w14:textId="1287880B" w:rsidR="5FCDFEE7" w:rsidRDefault="2444E5BE" w:rsidP="049BF0A8">
      <w:pPr>
        <w:pStyle w:val="ListParagraph"/>
        <w:numPr>
          <w:ilvl w:val="0"/>
          <w:numId w:val="2"/>
        </w:num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If your strategy works, what kind of results do you expect to see in </w:t>
      </w:r>
      <w:r w:rsidR="0064661E">
        <w:rPr>
          <w:rFonts w:ascii="Arial Nova" w:eastAsia="Arial Nova" w:hAnsi="Arial Nova" w:cs="Arial Nova"/>
          <w:sz w:val="20"/>
          <w:szCs w:val="20"/>
        </w:rPr>
        <w:t>2</w:t>
      </w:r>
      <w:r w:rsidRPr="049BF0A8">
        <w:rPr>
          <w:rFonts w:ascii="Arial Nova" w:eastAsia="Arial Nova" w:hAnsi="Arial Nova" w:cs="Arial Nova"/>
          <w:sz w:val="20"/>
          <w:szCs w:val="20"/>
        </w:rPr>
        <w:t xml:space="preserve"> years? And in </w:t>
      </w:r>
      <w:r w:rsidR="0064661E">
        <w:rPr>
          <w:rFonts w:ascii="Arial Nova" w:eastAsia="Arial Nova" w:hAnsi="Arial Nova" w:cs="Arial Nova"/>
          <w:sz w:val="20"/>
          <w:szCs w:val="20"/>
        </w:rPr>
        <w:t>3-5</w:t>
      </w:r>
      <w:r w:rsidRPr="049BF0A8">
        <w:rPr>
          <w:rFonts w:ascii="Arial Nova" w:eastAsia="Arial Nova" w:hAnsi="Arial Nova" w:cs="Arial Nova"/>
          <w:sz w:val="20"/>
          <w:szCs w:val="20"/>
        </w:rPr>
        <w:t xml:space="preserve"> years?</w:t>
      </w:r>
    </w:p>
    <w:p w14:paraId="130301B4" w14:textId="1158E4EA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49737FD8" w14:textId="35E6C98C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5211CEEA" w14:textId="54769C26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767A81FF" w14:textId="048D1102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6987C78C" w14:textId="0DCF3C42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19C92EDA" w14:textId="5754F735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50E28B74" w14:textId="509A50A3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2AEFBEFE" w14:textId="59336F77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3F56648D" w14:textId="10E8D5F1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0E375EF5" w14:textId="3FB724BB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246B6FFC" w14:textId="77777777" w:rsidR="0000360E" w:rsidRDefault="2444E5BE" w:rsidP="049BF0A8">
      <w:pPr>
        <w:spacing w:after="0"/>
        <w:rPr>
          <w:rFonts w:ascii="Arial Nova" w:eastAsia="Arial Nova" w:hAnsi="Arial Nova" w:cs="Arial Nova"/>
          <w:sz w:val="20"/>
          <w:szCs w:val="20"/>
        </w:rPr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25B2072C" w14:textId="77777777" w:rsidR="0003270B" w:rsidRDefault="0003270B" w:rsidP="049BF0A8">
      <w:pPr>
        <w:spacing w:after="0"/>
        <w:rPr>
          <w:rFonts w:ascii="Arial Nova" w:eastAsia="Arial Nova" w:hAnsi="Arial Nova" w:cs="Arial Nova"/>
          <w:b/>
          <w:bCs/>
          <w:color w:val="FF6B46"/>
          <w:sz w:val="28"/>
          <w:szCs w:val="28"/>
        </w:rPr>
      </w:pPr>
    </w:p>
    <w:p w14:paraId="107A0FEE" w14:textId="77777777" w:rsidR="0003270B" w:rsidRDefault="0003270B" w:rsidP="049BF0A8">
      <w:pPr>
        <w:spacing w:after="0"/>
        <w:rPr>
          <w:rFonts w:ascii="Arial Nova" w:eastAsia="Arial Nova" w:hAnsi="Arial Nova" w:cs="Arial Nova"/>
          <w:b/>
          <w:bCs/>
          <w:color w:val="FF6B46"/>
          <w:sz w:val="28"/>
          <w:szCs w:val="28"/>
        </w:rPr>
      </w:pPr>
    </w:p>
    <w:p w14:paraId="669C02D1" w14:textId="77777777" w:rsidR="0003270B" w:rsidRDefault="0003270B" w:rsidP="049BF0A8">
      <w:pPr>
        <w:spacing w:after="0"/>
        <w:rPr>
          <w:rFonts w:ascii="Arial Nova" w:eastAsia="Arial Nova" w:hAnsi="Arial Nova" w:cs="Arial Nova"/>
          <w:b/>
          <w:bCs/>
          <w:color w:val="FF6B46"/>
          <w:sz w:val="28"/>
          <w:szCs w:val="28"/>
        </w:rPr>
      </w:pPr>
    </w:p>
    <w:p w14:paraId="3C2D823D" w14:textId="77777777" w:rsidR="00E23E2E" w:rsidRDefault="00E23E2E" w:rsidP="049BF0A8">
      <w:pPr>
        <w:spacing w:after="0"/>
        <w:rPr>
          <w:rFonts w:ascii="Arial Nova" w:eastAsia="Arial Nova" w:hAnsi="Arial Nova" w:cs="Arial Nova"/>
          <w:b/>
          <w:bCs/>
          <w:color w:val="FF6B46"/>
          <w:sz w:val="28"/>
          <w:szCs w:val="28"/>
        </w:rPr>
      </w:pPr>
    </w:p>
    <w:p w14:paraId="0B6A7F6C" w14:textId="35C1CB2B" w:rsidR="5FCDFEE7" w:rsidRPr="0038777E" w:rsidRDefault="2444E5BE" w:rsidP="049BF0A8">
      <w:pPr>
        <w:spacing w:after="0"/>
      </w:pPr>
      <w:r w:rsidRPr="00A84D0D">
        <w:rPr>
          <w:rFonts w:ascii="Arial Nova" w:eastAsia="Arial Nova" w:hAnsi="Arial Nova" w:cs="Arial Nova"/>
          <w:b/>
          <w:bCs/>
          <w:color w:val="FF6B46"/>
          <w:sz w:val="28"/>
          <w:szCs w:val="28"/>
        </w:rPr>
        <w:t>External Evaluation</w:t>
      </w:r>
      <w:r w:rsidR="0038777E">
        <w:rPr>
          <w:rFonts w:ascii="Arial Nova" w:eastAsia="Arial Nova" w:hAnsi="Arial Nova" w:cs="Arial Nova"/>
          <w:b/>
          <w:bCs/>
          <w:color w:val="FF6B46"/>
          <w:sz w:val="28"/>
          <w:szCs w:val="28"/>
        </w:rPr>
        <w:t>s</w:t>
      </w:r>
      <w:r w:rsidRPr="00A84D0D">
        <w:rPr>
          <w:rFonts w:ascii="Arial Nova" w:eastAsia="Arial Nova" w:hAnsi="Arial Nova" w:cs="Arial Nova"/>
          <w:b/>
          <w:bCs/>
          <w:color w:val="FF6B46"/>
          <w:sz w:val="28"/>
          <w:szCs w:val="28"/>
        </w:rPr>
        <w:t xml:space="preserve"> </w:t>
      </w:r>
    </w:p>
    <w:p w14:paraId="7E24E086" w14:textId="0B068435" w:rsidR="5FCDFEE7" w:rsidRDefault="2444E5BE" w:rsidP="049BF0A8">
      <w:pPr>
        <w:spacing w:after="120"/>
        <w:jc w:val="both"/>
        <w:rPr>
          <w:rFonts w:ascii="Arial Nova" w:eastAsia="Arial Nova" w:hAnsi="Arial Nova" w:cs="Arial Nova"/>
          <w:color w:val="1D3D51"/>
          <w:sz w:val="20"/>
          <w:szCs w:val="20"/>
        </w:rPr>
      </w:pPr>
      <w:r w:rsidRPr="049BF0A8">
        <w:rPr>
          <w:rFonts w:ascii="Arial Nova" w:eastAsia="Arial Nova" w:hAnsi="Arial Nova" w:cs="Arial Nova"/>
          <w:color w:val="1D3D51"/>
          <w:sz w:val="20"/>
          <w:szCs w:val="20"/>
        </w:rPr>
        <w:t xml:space="preserve"> </w:t>
      </w:r>
    </w:p>
    <w:p w14:paraId="5F6C392E" w14:textId="7F9F8CC1" w:rsidR="00D5099A" w:rsidRPr="00D5099A" w:rsidRDefault="00D5099A" w:rsidP="00D5099A">
      <w:p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External evaluations are carried out according to the M&amp;E plans, and only when there is a clear need and intended use for them. Their main purpose is to assess the outcomes of an initiative</w:t>
      </w:r>
      <w:r w:rsidR="00E51D47">
        <w:rPr>
          <w:rFonts w:ascii="Arial Nova" w:hAnsi="Arial Nova"/>
          <w:sz w:val="20"/>
          <w:szCs w:val="20"/>
        </w:rPr>
        <w:t xml:space="preserve">, </w:t>
      </w:r>
      <w:r w:rsidRPr="00D5099A">
        <w:rPr>
          <w:rFonts w:ascii="Arial Nova" w:hAnsi="Arial Nova"/>
          <w:sz w:val="20"/>
          <w:szCs w:val="20"/>
        </w:rPr>
        <w:t xml:space="preserve">looking at </w:t>
      </w:r>
      <w:r w:rsidR="00C44B35">
        <w:rPr>
          <w:rFonts w:ascii="Arial Nova" w:hAnsi="Arial Nova"/>
          <w:sz w:val="20"/>
          <w:szCs w:val="20"/>
        </w:rPr>
        <w:t xml:space="preserve">where and how the initiative contributed </w:t>
      </w:r>
      <w:r w:rsidR="00305EC1">
        <w:rPr>
          <w:rFonts w:ascii="Arial Nova" w:hAnsi="Arial Nova"/>
          <w:sz w:val="20"/>
          <w:szCs w:val="20"/>
        </w:rPr>
        <w:t>to changes using rubrics</w:t>
      </w:r>
      <w:r w:rsidR="00211270">
        <w:rPr>
          <w:rFonts w:ascii="Arial Nova" w:hAnsi="Arial Nova"/>
          <w:sz w:val="20"/>
          <w:szCs w:val="20"/>
        </w:rPr>
        <w:t xml:space="preserve"> criteria and rating progress. </w:t>
      </w:r>
    </w:p>
    <w:p w14:paraId="4213C115" w14:textId="15A79402" w:rsidR="0003270B" w:rsidRPr="00D5099A" w:rsidRDefault="00D5099A" w:rsidP="00D5099A">
      <w:p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They will take a responsive approach to gender, equity, and inclusion, both in design and implementation, and include appropriately disaggregated data.</w:t>
      </w:r>
    </w:p>
    <w:p w14:paraId="38C65770" w14:textId="718CD82B" w:rsidR="00D5099A" w:rsidRPr="00D5099A" w:rsidRDefault="00D5099A" w:rsidP="00D5099A">
      <w:p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b/>
          <w:bCs/>
          <w:color w:val="1A78B4"/>
          <w:sz w:val="20"/>
          <w:szCs w:val="20"/>
        </w:rPr>
        <w:t>Eligibility criteria includ</w:t>
      </w:r>
      <w:r w:rsidR="000445D2">
        <w:rPr>
          <w:rFonts w:ascii="Arial Nova" w:hAnsi="Arial Nova"/>
          <w:b/>
          <w:bCs/>
          <w:color w:val="1A78B4"/>
          <w:sz w:val="20"/>
          <w:szCs w:val="20"/>
        </w:rPr>
        <w:t>e:</w:t>
      </w:r>
    </w:p>
    <w:p w14:paraId="2C153B81" w14:textId="77777777" w:rsidR="00D5099A" w:rsidRPr="00D5099A" w:rsidRDefault="00D5099A" w:rsidP="00D5099A">
      <w:pPr>
        <w:numPr>
          <w:ilvl w:val="0"/>
          <w:numId w:val="8"/>
        </w:num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There is strong interest from programme teams and partners in learning from an external evaluation.</w:t>
      </w:r>
    </w:p>
    <w:p w14:paraId="45989935" w14:textId="77777777" w:rsidR="00D5099A" w:rsidRPr="00D5099A" w:rsidRDefault="00D5099A" w:rsidP="00D5099A">
      <w:pPr>
        <w:numPr>
          <w:ilvl w:val="0"/>
          <w:numId w:val="8"/>
        </w:num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The initiative is not part of an existing cluster of similar grants working toward the same outcomes.</w:t>
      </w:r>
    </w:p>
    <w:p w14:paraId="1CAEB0D2" w14:textId="77777777" w:rsidR="000445D2" w:rsidRDefault="00D5099A" w:rsidP="00D5099A">
      <w:pPr>
        <w:spacing w:after="120"/>
        <w:jc w:val="both"/>
        <w:rPr>
          <w:rFonts w:ascii="Arial Nova" w:hAnsi="Arial Nova"/>
          <w:color w:val="1A78B4"/>
          <w:sz w:val="20"/>
          <w:szCs w:val="20"/>
        </w:rPr>
      </w:pPr>
      <w:r w:rsidRPr="00D5099A">
        <w:rPr>
          <w:rFonts w:ascii="Arial Nova" w:hAnsi="Arial Nova"/>
          <w:b/>
          <w:bCs/>
          <w:color w:val="1A78B4"/>
          <w:sz w:val="20"/>
          <w:szCs w:val="20"/>
        </w:rPr>
        <w:t>Evaluator selection:</w:t>
      </w:r>
      <w:r w:rsidRPr="00D5099A">
        <w:rPr>
          <w:rFonts w:ascii="Arial Nova" w:hAnsi="Arial Nova"/>
          <w:color w:val="1A78B4"/>
          <w:sz w:val="20"/>
          <w:szCs w:val="20"/>
        </w:rPr>
        <w:t> </w:t>
      </w:r>
    </w:p>
    <w:p w14:paraId="0A3A5BD3" w14:textId="13358131" w:rsidR="00D5099A" w:rsidRPr="00D5099A" w:rsidRDefault="00D5099A" w:rsidP="00D5099A">
      <w:p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 xml:space="preserve">The evaluation will be conducted by an </w:t>
      </w:r>
      <w:r w:rsidR="00EA46E4" w:rsidRPr="00D5099A">
        <w:rPr>
          <w:rFonts w:ascii="Arial Nova" w:hAnsi="Arial Nova"/>
          <w:sz w:val="20"/>
          <w:szCs w:val="20"/>
        </w:rPr>
        <w:t>e</w:t>
      </w:r>
      <w:r w:rsidR="00EA46E4">
        <w:rPr>
          <w:rFonts w:ascii="Arial Nova" w:hAnsi="Arial Nova"/>
          <w:sz w:val="20"/>
          <w:szCs w:val="20"/>
        </w:rPr>
        <w:t xml:space="preserve">valuation </w:t>
      </w:r>
      <w:r w:rsidRPr="00D5099A">
        <w:rPr>
          <w:rFonts w:ascii="Arial Nova" w:hAnsi="Arial Nova"/>
          <w:sz w:val="20"/>
          <w:szCs w:val="20"/>
        </w:rPr>
        <w:t xml:space="preserve">expert who understands the local and regional context. </w:t>
      </w:r>
      <w:r w:rsidR="00EA46E4" w:rsidRPr="00D5099A">
        <w:rPr>
          <w:rFonts w:ascii="Arial Nova" w:hAnsi="Arial Nova"/>
          <w:sz w:val="20"/>
          <w:szCs w:val="20"/>
        </w:rPr>
        <w:t>During the selection process, we aim for gender balance in the evaluation team.</w:t>
      </w:r>
    </w:p>
    <w:p w14:paraId="7BE171C2" w14:textId="77777777" w:rsidR="00D5099A" w:rsidRPr="00D5099A" w:rsidRDefault="00D5099A" w:rsidP="00D5099A">
      <w:pPr>
        <w:spacing w:after="120"/>
        <w:jc w:val="both"/>
        <w:rPr>
          <w:rFonts w:ascii="Arial Nova" w:hAnsi="Arial Nova"/>
          <w:color w:val="1A78B4"/>
          <w:sz w:val="20"/>
          <w:szCs w:val="20"/>
        </w:rPr>
      </w:pPr>
      <w:r w:rsidRPr="00D5099A">
        <w:rPr>
          <w:rFonts w:ascii="Arial Nova" w:hAnsi="Arial Nova"/>
          <w:b/>
          <w:bCs/>
          <w:color w:val="1A78B4"/>
          <w:sz w:val="20"/>
          <w:szCs w:val="20"/>
        </w:rPr>
        <w:t>Evaluation outputs will include:</w:t>
      </w:r>
    </w:p>
    <w:p w14:paraId="12D623F4" w14:textId="77777777" w:rsidR="00D5099A" w:rsidRPr="00D5099A" w:rsidRDefault="00D5099A" w:rsidP="00D5099A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When the evaluation took place</w:t>
      </w:r>
    </w:p>
    <w:p w14:paraId="3C2E0083" w14:textId="77777777" w:rsidR="00D5099A" w:rsidRPr="00D5099A" w:rsidRDefault="00D5099A" w:rsidP="00D5099A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Who was involved</w:t>
      </w:r>
    </w:p>
    <w:p w14:paraId="4BD67642" w14:textId="77777777" w:rsidR="00D5099A" w:rsidRPr="00D5099A" w:rsidRDefault="00D5099A" w:rsidP="00D5099A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Key questions and methodology (including how rubrics were applied)</w:t>
      </w:r>
    </w:p>
    <w:p w14:paraId="7D83A58E" w14:textId="77777777" w:rsidR="00D5099A" w:rsidRPr="00D5099A" w:rsidRDefault="00D5099A" w:rsidP="00D5099A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Context of the initiative</w:t>
      </w:r>
    </w:p>
    <w:p w14:paraId="3E7321C9" w14:textId="77777777" w:rsidR="00D5099A" w:rsidRPr="00D5099A" w:rsidRDefault="00D5099A" w:rsidP="00D5099A">
      <w:pPr>
        <w:numPr>
          <w:ilvl w:val="0"/>
          <w:numId w:val="9"/>
        </w:num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Findings, recommendations, and lessons learned</w:t>
      </w:r>
    </w:p>
    <w:p w14:paraId="3F4629C1" w14:textId="77777777" w:rsidR="004815B9" w:rsidRDefault="00D5099A" w:rsidP="00D5099A">
      <w:pPr>
        <w:spacing w:after="120"/>
        <w:jc w:val="both"/>
        <w:rPr>
          <w:rFonts w:ascii="Arial Nova" w:hAnsi="Arial Nova"/>
          <w:color w:val="1A78B4"/>
          <w:sz w:val="20"/>
          <w:szCs w:val="20"/>
        </w:rPr>
      </w:pPr>
      <w:r w:rsidRPr="00D5099A">
        <w:rPr>
          <w:rFonts w:ascii="Arial Nova" w:hAnsi="Arial Nova"/>
          <w:b/>
          <w:bCs/>
          <w:color w:val="1A78B4"/>
          <w:sz w:val="20"/>
          <w:szCs w:val="20"/>
        </w:rPr>
        <w:t>Oversight and coordination:</w:t>
      </w:r>
      <w:r w:rsidRPr="00D5099A">
        <w:rPr>
          <w:rFonts w:ascii="Arial Nova" w:hAnsi="Arial Nova"/>
          <w:color w:val="1A78B4"/>
          <w:sz w:val="20"/>
          <w:szCs w:val="20"/>
        </w:rPr>
        <w:t> </w:t>
      </w:r>
    </w:p>
    <w:p w14:paraId="56C67D32" w14:textId="767B4DC2" w:rsidR="5FCDFEE7" w:rsidRPr="00A71A4C" w:rsidRDefault="00D5099A" w:rsidP="00A71A4C">
      <w:pPr>
        <w:spacing w:after="120"/>
        <w:jc w:val="both"/>
        <w:rPr>
          <w:rFonts w:ascii="Arial Nova" w:hAnsi="Arial Nova"/>
          <w:sz w:val="20"/>
          <w:szCs w:val="20"/>
        </w:rPr>
      </w:pPr>
      <w:r w:rsidRPr="00D5099A">
        <w:rPr>
          <w:rFonts w:ascii="Arial Nova" w:hAnsi="Arial Nova"/>
          <w:sz w:val="20"/>
          <w:szCs w:val="20"/>
        </w:rPr>
        <w:t>A Senior Evaluation Manager will advise on the budget, select consultants, and oversee the evaluation in close collaboration with the partner and Programme Manager.</w:t>
      </w:r>
      <w:r w:rsidR="00044393">
        <w:rPr>
          <w:rFonts w:ascii="Arial Nova" w:hAnsi="Arial Nova"/>
          <w:sz w:val="20"/>
          <w:szCs w:val="20"/>
        </w:rPr>
        <w:t xml:space="preserve"> </w:t>
      </w:r>
      <w:r w:rsidRPr="00D5099A">
        <w:rPr>
          <w:rFonts w:ascii="Arial Nova" w:hAnsi="Arial Nova"/>
          <w:sz w:val="20"/>
          <w:szCs w:val="20"/>
        </w:rPr>
        <w:t>Both the partner and the foundation will be invited to provide a management response to the evaluation. However, either party may choose not to respond.</w:t>
      </w:r>
    </w:p>
    <w:p w14:paraId="7667E5AD" w14:textId="59692E74" w:rsidR="5FCDFEE7" w:rsidRDefault="2444E5BE" w:rsidP="049BF0A8">
      <w:pPr>
        <w:spacing w:after="0"/>
        <w:jc w:val="both"/>
      </w:pPr>
      <w:r w:rsidRPr="049BF0A8">
        <w:rPr>
          <w:rFonts w:ascii="Arial Nova" w:eastAsia="Arial Nova" w:hAnsi="Arial Nova" w:cs="Arial Nova"/>
          <w:b/>
          <w:bCs/>
          <w:color w:val="1A78B4"/>
          <w:sz w:val="20"/>
          <w:szCs w:val="20"/>
        </w:rPr>
        <w:t>Transparency on ‘what we are learning’</w:t>
      </w:r>
      <w:r w:rsidRPr="049BF0A8">
        <w:rPr>
          <w:rFonts w:ascii="Arial Nova" w:eastAsia="Arial Nova" w:hAnsi="Arial Nova" w:cs="Arial Nova"/>
          <w:b/>
          <w:bCs/>
          <w:color w:val="1D3D51"/>
          <w:sz w:val="20"/>
          <w:szCs w:val="20"/>
        </w:rPr>
        <w:t>:</w:t>
      </w:r>
      <w:r w:rsidRPr="049BF0A8">
        <w:rPr>
          <w:rFonts w:ascii="Arial Nova" w:eastAsia="Arial Nova" w:hAnsi="Arial Nova" w:cs="Arial Nova"/>
          <w:color w:val="1D3D51"/>
          <w:sz w:val="20"/>
          <w:szCs w:val="20"/>
        </w:rPr>
        <w:t xml:space="preserve"> All external evaluations funded by Laudes Foundation are open-access and published. Evaluations are published unedited and without redaction of evidence or findings.</w:t>
      </w:r>
    </w:p>
    <w:p w14:paraId="3310ABFB" w14:textId="38D42EEA" w:rsidR="5FCDFEE7" w:rsidRDefault="2444E5BE" w:rsidP="049BF0A8">
      <w:pPr>
        <w:tabs>
          <w:tab w:val="left" w:pos="1368"/>
        </w:tabs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13FE6E81" w14:textId="678F8793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sz w:val="20"/>
          <w:szCs w:val="20"/>
        </w:rPr>
        <w:t xml:space="preserve"> </w:t>
      </w:r>
    </w:p>
    <w:p w14:paraId="26B9C84F" w14:textId="38CFD4F4" w:rsidR="5FCDFEE7" w:rsidRDefault="5FCDFEE7"/>
    <w:p w14:paraId="4235F833" w14:textId="63279F48" w:rsidR="5FCDFEE7" w:rsidRDefault="2444E5BE" w:rsidP="049BF0A8">
      <w:pPr>
        <w:spacing w:after="0"/>
      </w:pPr>
      <w:r w:rsidRPr="049BF0A8">
        <w:rPr>
          <w:rFonts w:ascii="Arial Nova" w:eastAsia="Arial Nova" w:hAnsi="Arial Nova" w:cs="Arial Nova"/>
          <w:color w:val="FF6B46"/>
          <w:sz w:val="20"/>
          <w:szCs w:val="20"/>
        </w:rPr>
        <w:t xml:space="preserve"> </w:t>
      </w:r>
    </w:p>
    <w:p w14:paraId="6284271F" w14:textId="1246C128" w:rsidR="5FCDFEE7" w:rsidRDefault="5FCDFEE7" w:rsidP="049BF0A8">
      <w:pPr>
        <w:spacing w:after="0"/>
      </w:pPr>
    </w:p>
    <w:p w14:paraId="06A60B83" w14:textId="7A208E52" w:rsidR="5FCDFEE7" w:rsidRDefault="5FCDFEE7" w:rsidP="049BF0A8">
      <w:pPr>
        <w:spacing w:after="0"/>
      </w:pPr>
    </w:p>
    <w:p w14:paraId="0B781E0C" w14:textId="6B809C28" w:rsidR="5FCDFEE7" w:rsidRDefault="5FCDFEE7" w:rsidP="049BF0A8">
      <w:pPr>
        <w:spacing w:after="0"/>
      </w:pPr>
    </w:p>
    <w:p w14:paraId="1BB88A13" w14:textId="61C94F28" w:rsidR="5FCDFEE7" w:rsidRDefault="5FCDFEE7"/>
    <w:sectPr w:rsidR="5FCDFEE7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5483" w14:textId="77777777" w:rsidR="00A50BF0" w:rsidRDefault="00A50BF0" w:rsidP="00751800">
      <w:pPr>
        <w:spacing w:after="0" w:line="240" w:lineRule="auto"/>
      </w:pPr>
      <w:r>
        <w:separator/>
      </w:r>
    </w:p>
  </w:endnote>
  <w:endnote w:type="continuationSeparator" w:id="0">
    <w:p w14:paraId="27CA2ABE" w14:textId="77777777" w:rsidR="00A50BF0" w:rsidRDefault="00A50BF0" w:rsidP="0075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ckle Regular">
    <w:charset w:val="00"/>
    <w:family w:val="modern"/>
    <w:notTrueType/>
    <w:pitch w:val="variable"/>
    <w:sig w:usb0="00000007" w:usb1="00000000" w:usb2="00000000" w:usb3="00000000" w:csb0="00000093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Nuckle Semibold"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95A4" w14:textId="1643FC28" w:rsidR="007A0CB1" w:rsidRPr="003816B9" w:rsidRDefault="007A0CB1" w:rsidP="007A0CB1">
    <w:pPr>
      <w:pStyle w:val="Footer"/>
      <w:ind w:right="360"/>
      <w:rPr>
        <w:rFonts w:ascii="Nuckle Regular" w:hAnsi="Nuckle Regular" w:cstheme="minorHAnsi"/>
        <w:color w:val="000000" w:themeColor="text1"/>
        <w:spacing w:val="2"/>
        <w:sz w:val="18"/>
        <w:szCs w:val="18"/>
      </w:rPr>
    </w:pPr>
    <w:r w:rsidRPr="003816B9">
      <w:rPr>
        <w:rFonts w:ascii="Nuckle Regular" w:hAnsi="Nuckle Regular" w:cstheme="minorHAnsi"/>
        <w:noProof/>
        <w:color w:val="000000" w:themeColor="text1"/>
        <w:spacing w:val="2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3579D0" wp14:editId="558EF41B">
              <wp:simplePos x="0" y="0"/>
              <wp:positionH relativeFrom="column">
                <wp:posOffset>-61595</wp:posOffset>
              </wp:positionH>
              <wp:positionV relativeFrom="paragraph">
                <wp:posOffset>-75565</wp:posOffset>
              </wp:positionV>
              <wp:extent cx="6299200" cy="0"/>
              <wp:effectExtent l="0" t="0" r="1270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200" cy="0"/>
                      </a:xfrm>
                      <a:prstGeom prst="line">
                        <a:avLst/>
                      </a:prstGeom>
                      <a:ln w="2540">
                        <a:solidFill>
                          <a:schemeClr val="dk1">
                            <a:shade val="95000"/>
                            <a:satMod val="10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2pt" from="-4.85pt,-5.95pt" to="491.15pt,-5.95pt" w14:anchorId="1D975C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">
              <v:stroke joinstyle="miter"/>
            </v:line>
          </w:pict>
        </mc:Fallback>
      </mc:AlternateContent>
    </w:r>
    <w:r>
      <w:rPr>
        <w:rFonts w:ascii="Nuckle Regular" w:hAnsi="Nuckle Regular" w:cstheme="minorHAnsi"/>
        <w:color w:val="000000" w:themeColor="text1"/>
        <w:spacing w:val="2"/>
        <w:sz w:val="18"/>
        <w:szCs w:val="18"/>
      </w:rPr>
      <w:t>Measurement and Evaluation Optional Extension</w:t>
    </w:r>
  </w:p>
  <w:p w14:paraId="37576EAA" w14:textId="77777777" w:rsidR="007A0CB1" w:rsidRDefault="007A0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059D" w14:textId="77777777" w:rsidR="00A50BF0" w:rsidRDefault="00A50BF0" w:rsidP="00751800">
      <w:pPr>
        <w:spacing w:after="0" w:line="240" w:lineRule="auto"/>
      </w:pPr>
      <w:r>
        <w:separator/>
      </w:r>
    </w:p>
  </w:footnote>
  <w:footnote w:type="continuationSeparator" w:id="0">
    <w:p w14:paraId="372F2EF5" w14:textId="77777777" w:rsidR="00A50BF0" w:rsidRDefault="00A50BF0" w:rsidP="0075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03F5" w14:textId="252615BE" w:rsidR="00751800" w:rsidRDefault="00751800">
    <w:pPr>
      <w:pStyle w:val="Header"/>
    </w:pPr>
    <w:r>
      <w:rPr>
        <w:noProof/>
      </w:rPr>
      <w:drawing>
        <wp:inline distT="0" distB="0" distL="0" distR="0" wp14:anchorId="411CD25F" wp14:editId="3C028866">
          <wp:extent cx="1807721" cy="499872"/>
          <wp:effectExtent l="0" t="0" r="0" b="0"/>
          <wp:docPr id="2" name="image1.png" descr="A black background with orang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black background with orang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721" cy="49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ED12"/>
    <w:multiLevelType w:val="hybridMultilevel"/>
    <w:tmpl w:val="F9FE0F0E"/>
    <w:lvl w:ilvl="0" w:tplc="FC3659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F8F142">
      <w:start w:val="1"/>
      <w:numFmt w:val="lowerLetter"/>
      <w:lvlText w:val="b)"/>
      <w:lvlJc w:val="left"/>
      <w:pPr>
        <w:ind w:left="1440" w:hanging="360"/>
      </w:pPr>
    </w:lvl>
    <w:lvl w:ilvl="2" w:tplc="246E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C6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64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C6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A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8B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2C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43DE"/>
    <w:multiLevelType w:val="hybridMultilevel"/>
    <w:tmpl w:val="C9B4AEE2"/>
    <w:lvl w:ilvl="0" w:tplc="9B9E72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C09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23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86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A6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C7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EE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4B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0C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48A6"/>
    <w:multiLevelType w:val="multilevel"/>
    <w:tmpl w:val="7AA8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2BE4E7"/>
    <w:multiLevelType w:val="hybridMultilevel"/>
    <w:tmpl w:val="8F787908"/>
    <w:lvl w:ilvl="0" w:tplc="951CC3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A6B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66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C8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83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A4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CE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43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68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5FB82"/>
    <w:multiLevelType w:val="hybridMultilevel"/>
    <w:tmpl w:val="A71EA446"/>
    <w:lvl w:ilvl="0" w:tplc="805E17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30D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2F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A2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CE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C5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7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AE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07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6FDAB"/>
    <w:multiLevelType w:val="hybridMultilevel"/>
    <w:tmpl w:val="C5DC0956"/>
    <w:lvl w:ilvl="0" w:tplc="688EAC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862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61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D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A0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46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2F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CE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89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795"/>
    <w:multiLevelType w:val="hybridMultilevel"/>
    <w:tmpl w:val="73F61CA8"/>
    <w:lvl w:ilvl="0" w:tplc="CFF20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A8F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83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25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E8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E4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C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A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6C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BFBB"/>
    <w:multiLevelType w:val="hybridMultilevel"/>
    <w:tmpl w:val="448C24FE"/>
    <w:lvl w:ilvl="0" w:tplc="71C62E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20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8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0E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09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28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E1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4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1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256C7"/>
    <w:multiLevelType w:val="multilevel"/>
    <w:tmpl w:val="CC0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6969482">
    <w:abstractNumId w:val="0"/>
  </w:num>
  <w:num w:numId="2" w16cid:durableId="62340626">
    <w:abstractNumId w:val="3"/>
  </w:num>
  <w:num w:numId="3" w16cid:durableId="2036884815">
    <w:abstractNumId w:val="7"/>
  </w:num>
  <w:num w:numId="4" w16cid:durableId="588007384">
    <w:abstractNumId w:val="5"/>
  </w:num>
  <w:num w:numId="5" w16cid:durableId="1667703581">
    <w:abstractNumId w:val="4"/>
  </w:num>
  <w:num w:numId="6" w16cid:durableId="1095857047">
    <w:abstractNumId w:val="1"/>
  </w:num>
  <w:num w:numId="7" w16cid:durableId="1705667748">
    <w:abstractNumId w:val="6"/>
  </w:num>
  <w:num w:numId="8" w16cid:durableId="2105223993">
    <w:abstractNumId w:val="2"/>
  </w:num>
  <w:num w:numId="9" w16cid:durableId="1492526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11A5C2"/>
    <w:rsid w:val="0000360E"/>
    <w:rsid w:val="0003270B"/>
    <w:rsid w:val="00044393"/>
    <w:rsid w:val="000445D2"/>
    <w:rsid w:val="0007322E"/>
    <w:rsid w:val="001039A0"/>
    <w:rsid w:val="0013589D"/>
    <w:rsid w:val="00211270"/>
    <w:rsid w:val="00272EAD"/>
    <w:rsid w:val="00290722"/>
    <w:rsid w:val="002A64E3"/>
    <w:rsid w:val="002C33EE"/>
    <w:rsid w:val="002E42DB"/>
    <w:rsid w:val="0030269E"/>
    <w:rsid w:val="00305EC1"/>
    <w:rsid w:val="0037125A"/>
    <w:rsid w:val="0038777E"/>
    <w:rsid w:val="003D2D39"/>
    <w:rsid w:val="003E51AD"/>
    <w:rsid w:val="00412A62"/>
    <w:rsid w:val="00435988"/>
    <w:rsid w:val="004815B9"/>
    <w:rsid w:val="00483726"/>
    <w:rsid w:val="004C6FEF"/>
    <w:rsid w:val="004C72CD"/>
    <w:rsid w:val="004D0941"/>
    <w:rsid w:val="004E0810"/>
    <w:rsid w:val="00584C4F"/>
    <w:rsid w:val="005A7146"/>
    <w:rsid w:val="005D529B"/>
    <w:rsid w:val="00615968"/>
    <w:rsid w:val="0064661E"/>
    <w:rsid w:val="00647BCE"/>
    <w:rsid w:val="00691BD8"/>
    <w:rsid w:val="00696F14"/>
    <w:rsid w:val="006C392A"/>
    <w:rsid w:val="00706EDF"/>
    <w:rsid w:val="00726B88"/>
    <w:rsid w:val="0075017F"/>
    <w:rsid w:val="00751800"/>
    <w:rsid w:val="007A0CB1"/>
    <w:rsid w:val="007E29D4"/>
    <w:rsid w:val="008053A1"/>
    <w:rsid w:val="0089659F"/>
    <w:rsid w:val="008F6CDC"/>
    <w:rsid w:val="009A38F9"/>
    <w:rsid w:val="009B4C54"/>
    <w:rsid w:val="00A076CA"/>
    <w:rsid w:val="00A34220"/>
    <w:rsid w:val="00A50BF0"/>
    <w:rsid w:val="00A71A4C"/>
    <w:rsid w:val="00A84D0D"/>
    <w:rsid w:val="00B070A6"/>
    <w:rsid w:val="00B367D2"/>
    <w:rsid w:val="00B41671"/>
    <w:rsid w:val="00B76010"/>
    <w:rsid w:val="00B80EA3"/>
    <w:rsid w:val="00B8428D"/>
    <w:rsid w:val="00BC7D7E"/>
    <w:rsid w:val="00BD1EC6"/>
    <w:rsid w:val="00C12A64"/>
    <w:rsid w:val="00C175CA"/>
    <w:rsid w:val="00C44B35"/>
    <w:rsid w:val="00C6293B"/>
    <w:rsid w:val="00C67C40"/>
    <w:rsid w:val="00C8443B"/>
    <w:rsid w:val="00C9113B"/>
    <w:rsid w:val="00CB2772"/>
    <w:rsid w:val="00CD36E5"/>
    <w:rsid w:val="00D15844"/>
    <w:rsid w:val="00D5099A"/>
    <w:rsid w:val="00D61A6C"/>
    <w:rsid w:val="00D657C1"/>
    <w:rsid w:val="00D766B0"/>
    <w:rsid w:val="00DC7DEA"/>
    <w:rsid w:val="00E14BF7"/>
    <w:rsid w:val="00E23E2E"/>
    <w:rsid w:val="00E51D47"/>
    <w:rsid w:val="00E842F2"/>
    <w:rsid w:val="00EA46E4"/>
    <w:rsid w:val="00EC4911"/>
    <w:rsid w:val="00EE66DE"/>
    <w:rsid w:val="00F11330"/>
    <w:rsid w:val="00F21D87"/>
    <w:rsid w:val="00F2467F"/>
    <w:rsid w:val="00F6076F"/>
    <w:rsid w:val="00F67368"/>
    <w:rsid w:val="049BF0A8"/>
    <w:rsid w:val="0622F1D9"/>
    <w:rsid w:val="0BE9BB4D"/>
    <w:rsid w:val="114609A4"/>
    <w:rsid w:val="1319FCE5"/>
    <w:rsid w:val="2444E5BE"/>
    <w:rsid w:val="25EC24C8"/>
    <w:rsid w:val="2AA5E6BF"/>
    <w:rsid w:val="40ADB4F2"/>
    <w:rsid w:val="46FE8C38"/>
    <w:rsid w:val="4C11A5C2"/>
    <w:rsid w:val="5BBE77FA"/>
    <w:rsid w:val="5FCDFEE7"/>
    <w:rsid w:val="6A6C59B7"/>
    <w:rsid w:val="6E30237C"/>
    <w:rsid w:val="7FEA9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234F"/>
  <w15:chartTrackingRefBased/>
  <w15:docId w15:val="{A449E66F-A256-44BB-8A15-377F7701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49BF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49BF0A8"/>
    <w:rPr>
      <w:color w:val="467886"/>
      <w:u w:val="single"/>
    </w:rPr>
  </w:style>
  <w:style w:type="paragraph" w:styleId="BodyText">
    <w:name w:val="Body Text"/>
    <w:basedOn w:val="Normal"/>
    <w:link w:val="BodyTextChar"/>
    <w:uiPriority w:val="1"/>
    <w:qFormat/>
    <w:rsid w:val="00CB27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56"/>
      <w:szCs w:val="5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B2772"/>
    <w:rPr>
      <w:rFonts w:ascii="Arial" w:eastAsia="Arial" w:hAnsi="Arial" w:cs="Arial"/>
      <w:b/>
      <w:bCs/>
      <w:sz w:val="56"/>
      <w:szCs w:val="56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751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800"/>
  </w:style>
  <w:style w:type="paragraph" w:styleId="Footer">
    <w:name w:val="footer"/>
    <w:basedOn w:val="Normal"/>
    <w:link w:val="FooterChar"/>
    <w:uiPriority w:val="99"/>
    <w:unhideWhenUsed/>
    <w:rsid w:val="00751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800"/>
  </w:style>
  <w:style w:type="paragraph" w:styleId="Revision">
    <w:name w:val="Revision"/>
    <w:hidden/>
    <w:uiPriority w:val="99"/>
    <w:semiHidden/>
    <w:rsid w:val="002E42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4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2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udesfoundation.org/how-we-wor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E01D53EDA7145809539B9A2BAC530" ma:contentTypeVersion="11" ma:contentTypeDescription="Create a new document." ma:contentTypeScope="" ma:versionID="67d1ee114e632b2479ba015ea125298b">
  <xsd:schema xmlns:xsd="http://www.w3.org/2001/XMLSchema" xmlns:xs="http://www.w3.org/2001/XMLSchema" xmlns:p="http://schemas.microsoft.com/office/2006/metadata/properties" xmlns:ns2="4733adaf-2511-4174-ae59-9017ee22335a" xmlns:ns3="76d83614-789b-48c7-bcf1-9f73725e4ca1" targetNamespace="http://schemas.microsoft.com/office/2006/metadata/properties" ma:root="true" ma:fieldsID="04811fef0180b87a088c014a926c16b9" ns2:_="" ns3:_="">
    <xsd:import namespace="4733adaf-2511-4174-ae59-9017ee22335a"/>
    <xsd:import namespace="76d83614-789b-48c7-bcf1-9f73725e4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adaf-2511-4174-ae59-9017ee223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94f707-90d8-4847-b2fe-597ce7e61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83614-789b-48c7-bcf1-9f73725e4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35e0b7-c2fb-4805-8766-cb7b18184cee}" ma:internalName="TaxCatchAll" ma:showField="CatchAllData" ma:web="76d83614-789b-48c7-bcf1-9f73725e4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3adaf-2511-4174-ae59-9017ee22335a">
      <Terms xmlns="http://schemas.microsoft.com/office/infopath/2007/PartnerControls"/>
    </lcf76f155ced4ddcb4097134ff3c332f>
    <TaxCatchAll xmlns="76d83614-789b-48c7-bcf1-9f73725e4c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CC69-F2F0-441D-B6CD-D261D31CB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3adaf-2511-4174-ae59-9017ee22335a"/>
    <ds:schemaRef ds:uri="76d83614-789b-48c7-bcf1-9f73725e4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94D76-9717-4BF8-B4B0-2C6265DE5FCF}">
  <ds:schemaRefs>
    <ds:schemaRef ds:uri="http://schemas.microsoft.com/office/2006/metadata/properties"/>
    <ds:schemaRef ds:uri="http://schemas.microsoft.com/office/infopath/2007/PartnerControls"/>
    <ds:schemaRef ds:uri="4733adaf-2511-4174-ae59-9017ee22335a"/>
    <ds:schemaRef ds:uri="76d83614-789b-48c7-bcf1-9f73725e4ca1"/>
  </ds:schemaRefs>
</ds:datastoreItem>
</file>

<file path=customXml/itemProps3.xml><?xml version="1.0" encoding="utf-8"?>
<ds:datastoreItem xmlns:ds="http://schemas.openxmlformats.org/officeDocument/2006/customXml" ds:itemID="{A86AC7A9-1AA2-45C6-BE35-6EE1EE6BAD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F9FFD-67CA-46B7-A163-67F6E52B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4749</Characters>
  <Application>Microsoft Office Word</Application>
  <DocSecurity>4</DocSecurity>
  <Lines>39</Lines>
  <Paragraphs>11</Paragraphs>
  <ScaleCrop>false</ScaleCrop>
  <Company/>
  <LinksUpToDate>false</LinksUpToDate>
  <CharactersWithSpaces>5570</CharactersWithSpaces>
  <SharedDoc>false</SharedDoc>
  <HLinks>
    <vt:vector size="6" baseType="variant"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https://www.laudesfoundation.org/how-we-work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Roder</dc:creator>
  <cp:keywords/>
  <dc:description/>
  <cp:lastModifiedBy>Emilia Roder</cp:lastModifiedBy>
  <cp:revision>33</cp:revision>
  <dcterms:created xsi:type="dcterms:W3CDTF">2025-06-13T10:08:00Z</dcterms:created>
  <dcterms:modified xsi:type="dcterms:W3CDTF">2025-10-14T09:34:00Z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0x01010099BE01D53EDA7145809539B9A2BAC530</vt:lpwstr>
  </property>
  <property fmtid="{D5CDD505-2E9C-101B-9397-08002B2CF9AE}" pid="3" name="MediaServiceImageTags">
    <vt:lpwstr/>
  </property>
</Properties>
</file>